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12,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Connor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Larkspur Health Acquisition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Somerset Corporate Blvd., 2nd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Bridgewater, New Jersey 08807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Larkspur Health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12,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333-266838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Dear Mr. 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Connor: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48" w:orient="portrait"/>
          <w:cols w:equalWidth="0" w:num="2">
            <w:col w:w="1800" w:space="320"/>
            <w:col w:w="8019"/>
          </w:cols>
          <w:pgMar w:left="320" w:top="244" w:right="1440" w:bottom="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the Proxy Statement/Prospectus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ZyVersa Therapeutics, Inc., page 18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Please revise the first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sentence of the section to clarify the development status of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ZyVersa's business. 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regard, we note that you identify ZyVersa as "clinical stage";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however,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elsewhere in the proxy/prospectus indicate that the company has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conducted 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clinical trials to date. Also revise to highlight ZyVersa's history of net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losses and the going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concern opinion issued by its auditors.</w:t>
      </w: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here and on page 98 to clarify VAR 200's current stage of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clinical development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specify which license agreements are related to VAR 200 and IC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100.</w:t>
      </w:r>
    </w:p>
    <w:p>
      <w:pPr>
        <w:ind w:left="120"/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Connor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LastNameDaniel</w:t>
      </w:r>
    </w:p>
    <w:p>
      <w:pPr>
        <w:spacing w:after="0"/>
        <w:tabs>
          <w:tab w:leader="none" w:pos="3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Larkspur Health Acquisition 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Connor</w:t>
      </w:r>
    </w:p>
    <w:p>
      <w:pPr>
        <w:ind w:left="2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12,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September NameLarkspur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Health Acquisition Corp.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ectPr>
          <w:pgSz w:w="11900" w:h="16848" w:orient="portrait"/>
          <w:cols w:equalWidth="0" w:num="2">
            <w:col w:w="2320" w:space="420"/>
            <w:col w:w="7399"/>
          </w:cols>
          <w:pgMar w:left="320" w:top="244" w:right="1440" w:bottom="0" w:gutter="0" w:footer="0" w:header="0"/>
          <w:type w:val="continuous"/>
        </w:sect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12, 2022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Opinion of Financial Advisor to Larkspur, page 20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explain why the Larkspur Board obtained a fairness opinion and clarify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financial point of view used by the fairness advisor. In this regard, also tell us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whether, and if so, how the fairness advisor considered fairness from the financial point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view of unaffiliated shareholders.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Interests of Larkspur's Directors and Officers in the Business Combination, page 23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conflicts of interest discussion so that it highlights all material interests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transaction held by the sponsor and the company s officers and directors. This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could include fiduciary or contractual obligations to other entities as well as any interest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in, or affiliation with, the target company. In this regard, please ensure that the discussion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includes: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of the interests listed on pages 82, 144, and 145;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9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directors and officers of Larkspur may be deemed to have or share beneficial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of the founder shares;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1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risk that the sponsor will benefit from the completion of a business combination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may be incentivized to complete an acquisition of a less favorable target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or on terms less favorable to shareholders rather than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liquidate;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1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sponsor and its affiliates can earn a positive rate of return on their investment,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even if other SPAC shareholders experience a negative rate of return in the post-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 company;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55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the board considered these conflicts in negotiating and recommending the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quantify the aggregate dollar amount and describe the nature of what the sponsor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its affiliates have at risk that depends on completion of a business combination.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the current value of loans extended, fees due, and out-of-pocket expenses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the sponsor and its affiliates are awaiting reimbursement. Provide similar disclosure</w:t>
      </w:r>
    </w:p>
    <w:p>
      <w:pPr>
        <w:ind w:left="960"/>
        <w:spacing w:after="0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company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officers and directors, if material.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charter waives the corporate opportunities doctrine. Please address this potential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conflict of interest and whether it impacted your search for an acquisition target.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Expected Accounting Treatment, page 25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merger will be accounted for as a reverse recapitalization with ZyVersa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being the accounting acquirer. This determination is primarily based on ZyVersa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stockholders comprising a relative majority of the voting power of the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Combined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Entity, having the ability to nominate a majority of the members of the Board of the</w:t>
      </w:r>
    </w:p>
    <w:p>
      <w:pPr>
        <w:ind w:left="960"/>
        <w:spacing w:after="0"/>
        <w:tabs>
          <w:tab w:leader="none" w:pos="5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Combined Entity, and the Combined Entity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senior management will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comprise of the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senior management of ZyVersa. Your disclosures on page 170 indicate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in a no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redemption situation, ZyVersa stockholders will only own 46.7% of the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outstanding. Please address your consideration of this factor 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determining that ZyVersa</w:t>
      </w:r>
    </w:p>
    <w:p>
      <w:pPr>
        <w:ind w:left="120"/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Connor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LastNameDaniel</w:t>
      </w:r>
    </w:p>
    <w:p>
      <w:pPr>
        <w:spacing w:after="0"/>
        <w:tabs>
          <w:tab w:leader="none" w:pos="3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Larkspur Health Acquisition 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Connor</w:t>
      </w: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Corp.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12,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September NameLarkspur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Health Acquisition Corp.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320" w:space="420"/>
            <w:col w:w="7399"/>
          </w:cols>
          <w:pgMar w:left="320" w:top="142" w:right="1440" w:bottom="0" w:gutter="0" w:footer="0" w:header="0"/>
          <w:type w:val="continuous"/>
        </w:sect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12, 2022 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  <w:type w:val="continuous"/>
        </w:sectPr>
      </w:pPr>
    </w:p>
    <w:p>
      <w:pPr>
        <w:ind w:left="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stockholders will comprise a relative majority of the voting power.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also further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help us understand your consideration of the guidance in ASC 805-10-55-10 through 55-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 as far as determining the accounting acquirer by telling us the total number of expected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Board members and the number that can be elected or appointed by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ZyVersa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shareholders. Please also tell us how many senior management positions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be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  <w:type w:val="continuous"/>
        </w:sectPr>
      </w:pPr>
    </w:p>
    <w:bookmarkStart w:id="2" w:name="page3"/>
    <w:bookmarkEnd w:id="2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comprised of the senior management of ZyVersa.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business is dependent on the successful development, regulatory approval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commercialization of our product candidates. . ., page 42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43 that an initial request for an Orphan Drug Designation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FGFS "was unable to be granted by the FDA . . .based on submission of preclinical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data generated on a prevention model[.]" Please revise here, and elsewhere, where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applicable, to clarify who submitted this request, when it was submitted and the reasons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FDA provided for not approving the designation.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Ownership of Combined Entity Common Stock and this Business Combination,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73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highlight the material risks to public warrant holders, including those arising from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differences between private and public warrants. Clarify whether recent common stock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trading prices exceed the threshold that would allow the company to redeem public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warrants. Clearly explain the steps, if any, the company will take to notify all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shareholders, including beneficial owners, regarding when the warrants become eligible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redemption.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Insiders will continue to have substantial influence over the Combined Entity after the Closing,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could limit. . ., page 76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this risk factor appears internally inconsistent. In this regard, the first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paragraph assumes maximum redemptions while the last paragraph assumes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public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redemptions. Please reconcile or advise.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Proposed Charter will provide, subject to limited exceptions, that the Court of Chancery will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the sole and exclusive forum. . ., page 78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include the risks that your exclusive forum provision may result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increased costs for investors to bring a claim. The Business Combination Agreement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Background of the Business Combination, page 100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103 that during January 2022 "Larkspur worked with</w:t>
      </w:r>
    </w:p>
    <w:p>
      <w:pPr>
        <w:ind w:left="960"/>
        <w:spacing w:after="0"/>
        <w:tabs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A.G.P./Alliance Global Partners, the underwriter in Larkspur</w:t>
        <w:tab/>
        <w:t>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initial public offering, to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get their understanding of ZyVersa." Please disclose whether, 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 to serving as</w:t>
      </w:r>
    </w:p>
    <w:p>
      <w:pPr>
        <w:ind w:left="120"/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Connor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LastNameDaniel</w:t>
      </w:r>
    </w:p>
    <w:p>
      <w:pPr>
        <w:spacing w:after="0"/>
        <w:tabs>
          <w:tab w:leader="none" w:pos="3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Larkspur Health Acquisition 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Connor</w:t>
      </w:r>
    </w:p>
    <w:p>
      <w:pPr>
        <w:ind w:left="2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12,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September NameLarkspur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Health Acquisition Corp.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320" w:space="420"/>
            <w:col w:w="7399"/>
          </w:cols>
          <w:pgMar w:left="320" w:top="136" w:right="1440" w:bottom="0" w:gutter="0" w:footer="0" w:header="0"/>
          <w:type w:val="continuous"/>
        </w:sect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12, 2022 Page 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Larkspur's underwriter, A.G.P./Alliance Global Partners served in any formal or informal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advisor capacity and clarify its role in the business combination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process.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disclosure on page 103 to identify the material terms of the letter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intent proposal, including any material terms that differed from the February 3rd term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sheet.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transaction consideration was provisionally valued at $130 million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2022, but by June 2022, "based upon a decline in the market conditions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 feedback, Larkspur and ZyVersa agreed to revise the transaction consideration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$85 million." Please briefly disclose the market conditions and market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feedback that led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this decrease in value. In this regard, we note that the Business Combination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was revised multiple times during the pendency of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combination. If these revisions included changes to the consideration amount, please so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specify.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revise the Background section to clarify the due diligence that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Larkspur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conducted. In this regard, we note numerous general references to due diligence but it is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unclear what aspects of ZyVersa business and/or issues were the most significant from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Larkspur's perspective.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Recommendation of the Larkspur Health Acquisition Corp. Board and Reasons for the Business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Combination, page 107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108 that ZyVersa has established a relationship with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University of Miami Miller School of Medicine to discover, in-license, develop,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commercialize therapeutics. Please revise to disclose the material terms of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arrangement. Please also file the agreement as an exhibit pursuant to Item 601(b)(10)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 For additional guidance concerning oral contracts, please refer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Compliance Disclosure Interpretations, Regulation S-K, Q. 146.04. Opinion of Cassel Salpeter &amp; Co., LLC, page 116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right="1819" w:hanging="952"/>
        <w:spacing w:after="0" w:line="268" w:lineRule="auto"/>
        <w:tabs>
          <w:tab w:leader="none" w:pos="96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 on page 117 that Cassel Salpeter &amp; Co., LLC reviewed ZyVersa's projections for the years ending December 31, 2022,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 and 2024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your disclosure on page 118 that Cassel Salpeter used and relied upon the Projections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purposes of its analyses and opinion. Please disclose these projections and any "other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internal financial information" upon which Cassel Salpeter &amp; Co.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relied to render its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fairness opinion.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Cassel Salpeter conducted: (1) a selected companies analysis; (2) a selected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2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transactions analysis; and (3) a selected initial public offering/reverse merger analysis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that, for each analysis, Cassel Salpeter utilized data that it "deemed relevant."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380" w:right="1919" w:hanging="421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disclose the criteria it used to determine relevance. Additionally: for the selected companies analysis, denote which of the selected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companies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had "Less Than $10,000 2023 E Revenue."</w:t>
      </w:r>
    </w:p>
    <w:p>
      <w:pPr>
        <w:ind w:left="120"/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Connor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LastNameDaniel</w:t>
      </w:r>
    </w:p>
    <w:p>
      <w:pPr>
        <w:spacing w:after="0"/>
        <w:tabs>
          <w:tab w:leader="none" w:pos="3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Larkspur Health Acquisition 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Connor</w:t>
      </w: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12,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September NameLarkspur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Health Acquisition Corp.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320" w:space="420"/>
            <w:col w:w="7399"/>
          </w:cols>
          <w:pgMar w:left="320" w:top="136" w:right="1440" w:bottom="0" w:gutter="0" w:footer="0" w:header="0"/>
          <w:type w:val="continuous"/>
        </w:sect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12, 2022 Page 5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191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selected transactions analysis, disclose the resulting high, low, mean and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median financial data;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for the selected IPO/reverse merger analysis, denote which of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selected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transactions occurred "prior to Phase I trials."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Proposal No. 2 - The Charter Proposal, page 146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include Annexes B and C with highlighted changes. With regard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Proposal 2 and with reference to Rule 14a-4(a)(3) , please provide holders with 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opportunity to express a view with respect to each of the amended supermajority voting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provisions contained in the proposed charter.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Financial Information, page 162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Adjustment 4(d) reflects an issuance of $7 million of Series A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preferred stock whereas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elsewhere, including on page 31, indicate an issuance of $23.2 million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$16.2 million will be used to settle certain liabilities and transaction costs. It is not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 why the $23.2 million is not reflected as the issuance amount in the pro forma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information with additional adjustments to show the payments made to settle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liabilities and transaction costs. Please advise or revise as necessary.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adjustment 4(g), it is not clear why the adjustment does not also impact APIC.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advise or revise as necessary.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disclosures on page F-25 indicate that redemptions cannot cause</w:t>
      </w: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net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tangible assets to fall below $ 5,000,001. Please help us understand what consideration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 given to this in the maximum redemption scenario.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is not clear why the pro forma statement of operation for the year ended December 31,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 does not appear to reflect the transaction costs discussed in note 4(c). We remind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of the updated guidance in Article 11-02(a)(6) of Regulation S-X and Section II.D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Release 33-10786 which includes guidance regarding the inclusion of transaction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adjustments for nonrecurring items. Please advise or revise as necessary.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disclosures on page F-57 regarding the Series A Preferred Stock being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convertible in certain situations including the closing of a transaction with a special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purpose acquisition company ( SPAC ) listed on the Nasdaq Stock Market in which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would become a wholly owned subsidiary of the SPAC. Please address what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consideration was given to these terms in determining how to reflect the Series A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Preferred Stock in your pro forma financial information.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regards to the new Series A Convertible Preferred Stock Financing addressed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 4(d), please expand your disclosures to discuss any redemption terms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correspondingly how you determined these shares should be classified in equity pursuant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ASC 480.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599" w:firstLine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Daniel O Connor FirstName LastNameDaniel</w:t>
      </w:r>
    </w:p>
    <w:p>
      <w:pPr>
        <w:spacing w:after="0"/>
        <w:tabs>
          <w:tab w:leader="none" w:pos="3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Larkspur Health Acquisition 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Connor</w:t>
      </w: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12,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September NameLarkspur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Health Acquisition Corp.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320" w:space="420"/>
            <w:col w:w="7399"/>
          </w:cols>
          <w:pgMar w:left="320" w:top="136" w:right="1440" w:bottom="0" w:gutter="0" w:footer="0" w:header="0"/>
          <w:type w:val="continuous"/>
        </w:sect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6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12, 2022 Page 6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Legal Proceedings, page 177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disclosures on page 177 indicate that there is a risk factor</w:t>
      </w:r>
    </w:p>
    <w:p>
      <w:pPr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titled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Risk</w:t>
      </w:r>
    </w:p>
    <w:p>
      <w:pPr>
        <w:ind w:left="960"/>
        <w:spacing w:after="0"/>
        <w:tabs>
          <w:tab w:leader="none" w:pos="2200" w:val="left"/>
          <w:tab w:leader="none" w:pos="5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the Company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ZyVersa is subject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claims and lawsuits</w:t>
      </w:r>
    </w:p>
    <w:p>
      <w:pPr>
        <w:ind w:left="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relating to intellectual property and other related matters, which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could materially</w:t>
      </w:r>
    </w:p>
    <w:p>
      <w:pPr>
        <w:ind w:left="960"/>
        <w:spacing w:after="0"/>
        <w:tabs>
          <w:tab w:leader="none" w:pos="3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adversely affect ZyVersa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reputation, business and financial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condition..." It is not clear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this risk factor section is provided. Please also address your consideration of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disclosures required by ASC 450-10-50 regarding any open legal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About ZyVersa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Pipeline, page 185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reference to your disclosure on page 184, please revise the pipeline table on page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186 so that it does not appear that you have conducted a Phase 1 trial for your lead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candidate. Also, add disclosure by footnote to clarify how the pre-clinical stage differs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bookmarkStart w:id="5" w:name="page6"/>
    <w:bookmarkEnd w:id="5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the development stage.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VAR 200 Opportunity, page 200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focal segmental glomerulosclerosis and Alport Syndrome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orphan indications. Please balance this disclosure with a statement that the FDA has not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yet granted orphan drug designation to VAR 200 in either indication. Strategic Alliances and Arrangements, page 202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your license agreements with L&amp;F Research LLC and InflamaCORE, LLC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exhibits pursuant to Item 601(b)(10) of Regulation S-K or tell us why you do not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you are required to file these agreements. Moreover, provide disclosure about 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termination provisions found in these license agreements and quantify obligations that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agreed to pay to InflamaCORE for its Selexis license. If either of these agreements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sub-licensed from the University of Miami, please so specify. We note disclosure to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 on pages 112 and 113. Intellectual Property, page 204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discussion of the intellectual property connected to the license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to: (1) disclose the type of patent protection in the L&amp;F License Agreement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(2) specify the jurisdiction of the "selected foreign countries" for the patent rights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both license agreements. Additionally, ensure that the related patent disclosure connected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these licenses on pages 112 and 113 is aligned with the disclosure on this page.</w:t>
      </w:r>
    </w:p>
    <w:p>
      <w:pPr>
        <w:spacing w:after="0"/>
        <w:tabs>
          <w:tab w:leader="none" w:pos="940" w:val="left"/>
          <w:tab w:leader="none" w:pos="60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205 that you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have issued patents[.]</w:t>
      </w:r>
    </w:p>
    <w:p>
      <w:pPr>
        <w:ind w:left="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ZyVersa has any material patents or patent applications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outside of those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connected to the L&amp;F or InflamaCORE License Agreements. If so, revise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include the specific products or technologies to which the patents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relate, the type of</w:t>
      </w:r>
    </w:p>
    <w:p>
      <w:pPr>
        <w:ind w:left="120"/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Connor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Larkspur Health Acquisition Corp.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12, 2022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7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patent protection obtained (composition of matter, use or process),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jurisdiction of the</w:t>
      </w:r>
    </w:p>
    <w:p>
      <w:pPr>
        <w:ind w:left="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patents, and the expiration year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Management of the Combined Entity Following the Business Combination, page 244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each director and executive officer, please revise your disclosure to include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 experience, qualifications, attributes or skills which led the board to conclude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person should serve as a director of the company. Refer to Item 401(e)(1)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85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Regulation S-K. Beneficial Ownership , page 251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identify the natural person or persons who have voting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and/or investment control of the shares held by the entities affiliated with INCON Co.,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Ltd.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Relationships and Related Party Transactions, page 255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your option agreement with the Brio Financial Group as an exhibit pursuant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601(b)(10) of Regulation S-K or tell us why you do not believe you are required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this agreement.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ZyVersa Related Person Transactions, page 256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these agreements exhibits pursuant to Item 601(b)(10) of Regulation S-K or tell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380" w:right="3279" w:hanging="421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why you do not believe you are required to file them: 2021 Promissory Notes;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Master License Agreement with Incon, Ltd.;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6" w:name="page7"/>
    <w:bookmarkEnd w:id="6"/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2016 Registration Rights Agreement.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4. Note Receivable, page F-47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the accounting basis for classifying the L&amp;F Note as a contra-liability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against the milestone payments included in accrued expenses rather than as a reduction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60"/>
        <w:spacing w:after="0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stockholders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equity. Tell us your consideration of ASC 505-10-45-2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SAB Topics 4E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4G.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Put Option, page F-54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737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the redeemable common stock, please provide the disclosures required by ASC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  NameLarkspur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480-10-S99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Health</w:t>
      </w:r>
    </w:p>
    <w:p>
      <w:pPr>
        <w:ind w:left="2000"/>
        <w:spacing w:after="0" w:line="238" w:lineRule="auto"/>
        <w:tabs>
          <w:tab w:leader="none" w:pos="3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Acquisition</w:t>
      </w:r>
    </w:p>
    <w:p>
      <w:pPr>
        <w:ind w:left="3060"/>
        <w:spacing w:after="0"/>
        <w:tabs>
          <w:tab w:leader="none" w:pos="4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description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Corp.</w:t>
      </w:r>
    </w:p>
    <w:p>
      <w:pPr>
        <w:ind w:left="45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accounting method used to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right"/>
        <w:ind w:right="90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adjust the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right"/>
        <w:ind w:right="83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</w:t>
      </w:r>
    </w:p>
    <w:p>
      <w:pPr>
        <w:jc w:val="both"/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  <w:tab/>
        <w:t>12, 2022amount.</w:t>
      </w:r>
    </w:p>
    <w:p>
      <w:pPr>
        <w:jc w:val="right"/>
        <w:ind w:right="73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7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Connor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LastNameDaniel</w:t>
      </w:r>
    </w:p>
    <w:p>
      <w:pPr>
        <w:spacing w:after="0"/>
        <w:tabs>
          <w:tab w:leader="none" w:pos="3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Larkspur Health Acquisition 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Connor</w:t>
      </w:r>
    </w:p>
    <w:p>
      <w:pPr>
        <w:ind w:left="2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12,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September NameLarkspur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Health Acquisition Corp.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320" w:space="420"/>
            <w:col w:w="7399"/>
          </w:cols>
          <w:pgMar w:left="320" w:top="136" w:right="1440" w:bottom="0" w:gutter="0" w:footer="0" w:header="0"/>
          <w:type w:val="continuous"/>
        </w:sect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8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12, 2022 Page 8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Financial Statements ZyVersa Therapeutics, Inc.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9. Stockholders Deficiency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Series A Preferred Stock Financing, page F-66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determined that the Deemed Liquidation Events were within the control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and, therefore, the Series A Preferred Stock should be classified as permanent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equity. Please disclose the types of deemed liquidation events you considered pursuant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ASC 480-10-S99-3A-3.f, as well as please confirm these deemed liquidation events result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all of the holders of equally and more subordinated equity instruments of the entity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being entitled to also receive the same form of consideration.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A.G.P./Alliance Global Partners was the underwriter for Larkspur's initial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public offering and that Larkspur worked with A.G.P/Alliance Global Partners "to get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their understanding of ZyVersa." We also note that BTIG, LLC and Noble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Markets provided advisory services to ZyVersa. We further note press reports that certain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advisors are ending their involvement in SPAC business combination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transactions. Please tell us, with a view to disclosure, whether you have received notice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any of these institutions about them ceasing involvement in your transaction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that may impact your deal or any deferred compensation owed to such company.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addition, disclose whether any other financial advisor served the parties, or advise.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bookmarkStart w:id="7" w:name="page8"/>
    <w:bookmarkEnd w:id="7"/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Nudrat Salik at 202-551-3692 or Terence O'Brien at 202-551-3355 if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Dillon Hagius at 202-551-7967 or Joe McCann at 202-551-6262 with any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Matt Mamak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DB127F8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216231B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F16E9E8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1190CDE7"/>
    <w:multiLevelType w:val="hybridMultilevel"/>
    <w:lvl w:ilvl="0">
      <w:lvlJc w:val="left"/>
      <w:lvlText w:val="%1."/>
      <w:numFmt w:val="decimal"/>
      <w:start w:val="6"/>
    </w:lvl>
  </w:abstractNum>
  <w:abstractNum w:abstractNumId="4">
    <w:nsid w:val="66EF438D"/>
    <w:multiLevelType w:val="hybridMultilevel"/>
    <w:lvl w:ilvl="0">
      <w:lvlJc w:val="left"/>
      <w:lvlText w:val="%1."/>
      <w:numFmt w:val="decimal"/>
      <w:start w:val="8"/>
    </w:lvl>
  </w:abstractNum>
  <w:abstractNum w:abstractNumId="5">
    <w:nsid w:val="140E0F76"/>
    <w:multiLevelType w:val="hybridMultilevel"/>
    <w:lvl w:ilvl="0">
      <w:lvlJc w:val="left"/>
      <w:lvlText w:val="%1."/>
      <w:numFmt w:val="decimal"/>
      <w:start w:val="13"/>
    </w:lvl>
  </w:abstractNum>
  <w:abstractNum w:abstractNumId="6">
    <w:nsid w:val="3352255A"/>
    <w:multiLevelType w:val="hybridMultilevel"/>
    <w:lvl w:ilvl="0">
      <w:lvlJc w:val="left"/>
      <w:lvlText w:val="%1."/>
      <w:numFmt w:val="decimal"/>
      <w:start w:val="15"/>
    </w:lvl>
  </w:abstractNum>
  <w:abstractNum w:abstractNumId="7">
    <w:nsid w:val="109CF92E"/>
    <w:multiLevelType w:val="hybridMultilevel"/>
    <w:lvl w:ilvl="0">
      <w:lvlJc w:val="left"/>
      <w:lvlText w:val="%1."/>
      <w:numFmt w:val="decimal"/>
      <w:start w:val="18"/>
    </w:lvl>
  </w:abstractNum>
  <w:abstractNum w:abstractNumId="8">
    <w:nsid w:val="DED7263"/>
    <w:multiLevelType w:val="hybridMultilevel"/>
    <w:lvl w:ilvl="0">
      <w:lvlJc w:val="left"/>
      <w:lvlText w:val="%1."/>
      <w:numFmt w:val="decimal"/>
      <w:start w:val="19"/>
    </w:lvl>
  </w:abstractNum>
  <w:abstractNum w:abstractNumId="9">
    <w:nsid w:val="7FDCC233"/>
    <w:multiLevelType w:val="hybridMultilevel"/>
    <w:lvl w:ilvl="0">
      <w:lvlJc w:val="left"/>
      <w:lvlText w:val="%1."/>
      <w:numFmt w:val="decimal"/>
      <w:start w:val="21"/>
    </w:lvl>
  </w:abstractNum>
  <w:abstractNum w:abstractNumId="10">
    <w:nsid w:val="1BEFD79F"/>
    <w:multiLevelType w:val="hybridMultilevel"/>
    <w:lvl w:ilvl="0">
      <w:lvlJc w:val="left"/>
      <w:lvlText w:val="%1."/>
      <w:numFmt w:val="decimal"/>
      <w:start w:val="23"/>
    </w:lvl>
  </w:abstractNum>
  <w:abstractNum w:abstractNumId="11">
    <w:nsid w:val="41A7C4C9"/>
    <w:multiLevelType w:val="hybridMultilevel"/>
    <w:lvl w:ilvl="0">
      <w:lvlJc w:val="left"/>
      <w:lvlText w:val="%1."/>
      <w:numFmt w:val="decimal"/>
      <w:start w:val="25"/>
    </w:lvl>
  </w:abstractNum>
  <w:abstractNum w:abstractNumId="12">
    <w:nsid w:val="6B68079A"/>
    <w:multiLevelType w:val="hybridMultilevel"/>
    <w:lvl w:ilvl="0">
      <w:lvlJc w:val="left"/>
      <w:lvlText w:val="%1."/>
      <w:numFmt w:val="decimal"/>
      <w:start w:val="26"/>
    </w:lvl>
  </w:abstractNum>
  <w:abstractNum w:abstractNumId="13">
    <w:nsid w:val="4E6AFB66"/>
    <w:multiLevelType w:val="hybridMultilevel"/>
    <w:lvl w:ilvl="0">
      <w:lvlJc w:val="left"/>
      <w:lvlText w:val="%1."/>
      <w:numFmt w:val="decimal"/>
      <w:start w:val="27"/>
    </w:lvl>
  </w:abstractNum>
  <w:abstractNum w:abstractNumId="14">
    <w:nsid w:val="25E45D32"/>
    <w:multiLevelType w:val="hybridMultilevel"/>
    <w:lvl w:ilvl="0">
      <w:lvlJc w:val="left"/>
      <w:lvlText w:val="%1."/>
      <w:numFmt w:val="decimal"/>
      <w:start w:val="28"/>
    </w:lvl>
  </w:abstractNum>
  <w:abstractNum w:abstractNumId="15">
    <w:nsid w:val="519B500D"/>
    <w:multiLevelType w:val="hybridMultilevel"/>
    <w:lvl w:ilvl="0">
      <w:lvlJc w:val="left"/>
      <w:lvlText w:val="%1."/>
      <w:numFmt w:val="decimal"/>
      <w:start w:val="32"/>
    </w:lvl>
  </w:abstractNum>
  <w:abstractNum w:abstractNumId="16">
    <w:nsid w:val="431BD7B7"/>
    <w:multiLevelType w:val="hybridMultilevel"/>
    <w:lvl w:ilvl="0">
      <w:lvlJc w:val="left"/>
      <w:lvlText w:val="%1."/>
      <w:numFmt w:val="decimal"/>
      <w:start w:val="36"/>
    </w:lvl>
  </w:abstractNum>
  <w:abstractNum w:abstractNumId="17">
    <w:nsid w:val="3F2DBA31"/>
    <w:multiLevelType w:val="hybridMultilevel"/>
    <w:lvl w:ilvl="0">
      <w:lvlJc w:val="left"/>
      <w:lvlText w:val="%1."/>
      <w:numFmt w:val="decimal"/>
      <w:start w:val="37"/>
    </w:lvl>
  </w:abstractNum>
  <w:abstractNum w:abstractNumId="18">
    <w:nsid w:val="7C83E458"/>
    <w:multiLevelType w:val="hybridMultilevel"/>
    <w:lvl w:ilvl="0">
      <w:lvlJc w:val="left"/>
      <w:lvlText w:val="%1."/>
      <w:numFmt w:val="decimal"/>
      <w:start w:val="38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2022-12-19T00:17:02Z</dcterms:created>
  <dcterms:modified xsi:type="dcterms:W3CDTF">2022-12-19T00:17:02Z</dcterms:modified>
</cp:coreProperties>
</file>